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Утверждена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приказом Минстроя России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от 19 сентября 2018 г. N 591/пр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(в ред. п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риказа Минстроя России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от 26.11.2024 №801/пр)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планируемых строительстве или реконструкции объекта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индивидуального жилищного строительства или садового дома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"__" _________ 20__ г.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Администрация города Нижнего Новгорода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Департамент градостроительного развития и архитектуры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Сведения о застройщике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физическом лице, в случае если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застройщиком является физическое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Реквизиты документа,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юридическом лице, в случае если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застройщиком является юридическое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государственной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юридического лица в едином государственном реестре юридических лиц, за исключением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случая, если заявителем является иностранное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налогоплательщика, за исключением случая,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заявителем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является иностранное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096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или описание местоположения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праве застройщика на земельный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участок (правоустанавливающие документы)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наличии прав иных лиц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земельный участок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виде разрешенного использования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Сведения об объекте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виде разрешенного использования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объекта капитального строительства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(объект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индивидуального жилищного строительства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или садовый дом)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 (выбрать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объект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индивидуального жилищного строительства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или садовый дом)</w:t>
            </w:r>
            <w:r>
              <w:rPr>
                <w:color w:val="ff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Цель подачи уведомления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(строительство или реконструкция)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(выбрать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строительство или реконструкция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объ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ект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а)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планируемых параметрах: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надземных этажей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об отступах от границ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(необходимо указывать минимальные отступы от всех границ земельного участка до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Площадь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Схематичное изображение планируемого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строительству или реконструкции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капитального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строительства на земельном участке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19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 Сведения о договоре 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счета эскроу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 случае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индивидуального жилищного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Федеральным законом от 22 июля 2024 г.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186-ФЗ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"О строительстве жилых домов по договорам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счетов эскроу")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096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внесения сведений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договоре строительного подряда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единую информационную систему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 Сведения о подрядчике, выполняющем работы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строительству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договора строительного подряда 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счета эскроу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 случае строительства объекта индивидуального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Федеральным законом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22 июля 2024 г. N 186-ФЗ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"О строительстве жилых домов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договорам 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счетов эскроу")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юридическом лице, в случае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подрядчиком является юридическое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государственной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юридического лица в едином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государственном реестре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Уникальный код идентификации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(идентификатор), присвоенный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единой информационной системе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индивидуальном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предпринимателе,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случае если подрядчиком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Фамилия, имя и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месту жительства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регистрации индивидуального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предпринимателя в едином государственном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реестре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Уникальный код идентификации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(идентификатор), присвоенный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единой информационной системе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color w:val="ff0000"/>
                <w:sz w:val="32"/>
                <w:szCs w:val="3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Почтовый адрес и (или) адрес электронной почты для связи: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Уведомление   о   соответствии   указанных   в   уведомлении   о   планируемых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строительстве  или  реконструкции  объекта   индивидуального  жилищного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строительства  или  садового  дома   параметров   объекта  индивидуального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жилищного   строительства   или  садового  дома  установленным   параметрам   и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допустимости размещения объекта индивидуального жилищного строительства или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садового  дома   на   земельном  участке   либо  о   несоответствии указанных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уведомлении   о  планируемых   строительстве   или  реконструкции  объекта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индивидуального   жилищного   строительства  или  садового  дома  параметров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объекта  индивидуального  жилищного   строительства  или  садового  дома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установленным   параметрам   и(или)  недопустимости размещения объекта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индивидуального   жилищного  строительства или  садового  дома на земельном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участке прошу направить следующим способом: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(путем  направления  на  почтовый адрес и (или) адрес электронной почты или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нарочным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(в уполномоченном органе местного самоуправления,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в том числе через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многофункциональный центр)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Настоящим уведомлением подтверждаю, что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выбрать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       (объект индивидуального жилищного строительства или садовый дом)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предназначен для раздела на самостоятельные объекты недвижимости.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ff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Настоящим уведомлением я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отчество(при наличии) 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в случае, если застройщиком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является физическое лицо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 согласие  на обработку персональных данных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_____________________________      ___________      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(должность, в случае если 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застройщиком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                          (подпись)                 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        является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юридическое лицо)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                       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М.П.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настоящему уведомлению прилагаются: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(документы, предусмотренные частью 3,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статьи 51.1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Градостроительного кодекса РФ,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 также частью 16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статьи 51.1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Градостроительного кодекса РФ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(в случае подачи настоящего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уведомления от имени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застройщика лицом, выполняющим работы по строительству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объекта   индивидуального  жилищного 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строительства  на  основании  договора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строительного   подряда 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с   использованием  счета  эскроу)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</w:p>
    <w:p>
      <w:pPr>
        <w:spacing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  <w:t xml:space="preserve">Примечание:</w:t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2"/>
          <w:szCs w:val="32"/>
          <w:highlight w:val="none"/>
        </w:rPr>
      </w:r>
    </w:p>
    <w:p>
      <w:pPr>
        <w:spacing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– обязательные поля для заполнения ВСЕМ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– обязательные поля для заполнения физическим лицам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</w:p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– обязательные поля для заполнения юридическим лицам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p>
      <w:pPr>
        <w:ind w:firstLine="708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  <w:t xml:space="preserve">Разделы 5 и 6 заполняются при наличии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 договора строительного подряда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с использованием счета эскроу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  <w:t xml:space="preserve">, в 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  <w:t xml:space="preserve">случае отсутствия договоров ставятся прочерки.</w:t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  <w:u w:val="none"/>
        </w:rPr>
      </w:r>
    </w:p>
    <w:p>
      <w:pPr>
        <w:ind w:firstLine="708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  <w:highlight w:val="none"/>
        </w:rPr>
        <w:t xml:space="preserve">В разделе 6 заполняются 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  <w:t xml:space="preserve">пункты</w:t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  <w:r>
        <w:rPr>
          <w:rFonts w:ascii="Times New Roman" w:hAnsi="Times New Roman" w:eastAsia="Times New Roman" w:cs="Times New Roman"/>
          <w:color w:val="ff0000"/>
          <w:sz w:val="32"/>
          <w:szCs w:val="32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59"/>
      </w:tblGrid>
      <w:tr>
        <w:tblPrEx/>
        <w:trPr>
          <w:trHeight w:val="3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</w:r>
            <w:r>
              <w:rPr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651215</wp:posOffset>
                      </wp:positionH>
                      <wp:positionV relativeFrom="paragraph">
                        <wp:posOffset>-48171</wp:posOffset>
                      </wp:positionV>
                      <wp:extent cx="571500" cy="3343275"/>
                      <wp:effectExtent l="3175" t="3175" r="3175" b="3175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571500" cy="3343274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859"/>
                                </a:avLst>
                              </a:prstGeom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88" type="#_x0000_t88" style="position:absolute;z-index:3072;o:allowoverlap:true;o:allowincell:true;mso-position-horizontal-relative:text;margin-left:51.28pt;mso-position-horizontal:absolute;mso-position-vertical-relative:text;margin-top:-3.79pt;mso-position-vertical:absolute;width:45.00pt;height:263.25pt;mso-wrap-distance-left:9.07pt;mso-wrap-distance-top:0.00pt;mso-wrap-distance-right:9.07pt;mso-wrap-distance-bottom:0.00pt;v-text-anchor:middle;visibility:visible;" filled="f" strokecolor="#FF0000" strokeweight="0.50pt">
                      <v:stroke dashstyle="solid"/>
                      <v:textbox inset="0,0,0,0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</w:r>
            <w:r>
              <w:rPr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1222715</wp:posOffset>
                      </wp:positionH>
                      <wp:positionV relativeFrom="paragraph">
                        <wp:posOffset>170948</wp:posOffset>
                      </wp:positionV>
                      <wp:extent cx="4400550" cy="981075"/>
                      <wp:effectExtent l="6349" t="6349" r="6349" b="6349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4400549" cy="98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99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000000"/>
                                      <w:sz w:val="32"/>
                                      <w:szCs w:val="32"/>
                                      <w:highlight w:val="none"/>
                                    </w:rPr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000000"/>
                                      <w:sz w:val="32"/>
                                      <w:szCs w:val="32"/>
                                      <w:highlight w:val="none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32"/>
                                      <w:szCs w:val="32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если подрядчиком является юридическое лицо</w:t>
                                  </w:r>
                                  <w:r>
                                    <w:rPr>
                                      <w:color w:val="ff0000"/>
                                    </w:rPr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32"/>
                                      <w:szCs w:val="32"/>
                                      <w:highlight w:val="none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4096;o:allowoverlap:true;o:allowincell:true;mso-position-horizontal-relative:text;margin-left:96.28pt;mso-position-horizontal:absolute;mso-position-vertical-relative:text;margin-top:13.46pt;mso-position-vertical:absolute;width:346.50pt;height:77.25pt;mso-wrap-distance-left:9.07pt;mso-wrap-distance-top:0.00pt;mso-wrap-distance-right:9.07pt;mso-wrap-distance-bottom:0.00pt;v-text-anchor:top;visibility:visible;" fillcolor="#FFFFFF" strokecolor="#FF0000" strokeweight="1.00pt">
                      <v:stroke dashstyle="solid"/>
                      <v:textbox inset="0,0,0,0">
                        <w:txbxContent>
                          <w:p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color w:val="ff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если подрядчиком является юридическое лицо</w:t>
                            </w:r>
                            <w:r>
                              <w:rPr>
                                <w:color w:val="ff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6.1.4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6.1.5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shd w:val="nil" w:color="000000"/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</w:tblGrid>
      <w:tr>
        <w:tblPrEx/>
        <w:trPr>
          <w:trHeight w:val="3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</w:r>
            <w:r>
              <w:rPr>
                <w:sz w:val="32"/>
                <w:szCs w:val="3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611845</wp:posOffset>
                      </wp:positionH>
                      <wp:positionV relativeFrom="paragraph">
                        <wp:posOffset>-56942</wp:posOffset>
                      </wp:positionV>
                      <wp:extent cx="648970" cy="3386202"/>
                      <wp:effectExtent l="3175" t="3175" r="3175" b="3175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648968" cy="3386201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208"/>
                                </a:avLst>
                              </a:prstGeom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88" type="#_x0000_t88" style="position:absolute;z-index:3072;o:allowoverlap:true;o:allowincell:true;mso-position-horizontal-relative:text;margin-left:48.18pt;mso-position-horizontal:absolute;mso-position-vertical-relative:text;margin-top:-4.48pt;mso-position-vertical:absolute;width:51.10pt;height:266.63pt;mso-wrap-distance-left:9.07pt;mso-wrap-distance-top:0.00pt;mso-wrap-distance-right:9.07pt;mso-wrap-distance-bottom:0.00pt;rotation:0;v-text-anchor:middle;visibility:visible;" filled="f" strokecolor="#FF0000" strokeweight="0.50pt">
                      <v:stroke dashstyle="solid"/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6.2.1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6.2.3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6.2.4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</w:rPr>
              <w:t xml:space="preserve">6.2.5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1300185</wp:posOffset>
                </wp:positionH>
                <wp:positionV relativeFrom="paragraph">
                  <wp:posOffset>-2316768</wp:posOffset>
                </wp:positionV>
                <wp:extent cx="4648200" cy="1171575"/>
                <wp:effectExtent l="6349" t="6349" r="6349" b="6349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648199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69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  <w:r/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если подрядчиком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является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индивидуальный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предприниматель</w:t>
                            </w:r>
                            <w:r>
                              <w:rPr>
                                <w:color w:val="ff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4096;o:allowoverlap:true;o:allowincell:true;mso-position-horizontal-relative:text;margin-left:102.38pt;mso-position-horizontal:absolute;mso-position-vertical-relative:text;margin-top:-182.42pt;mso-position-vertical:absolute;width:366.00pt;height:92.25pt;mso-wrap-distance-left:9.07pt;mso-wrap-distance-top:0.00pt;mso-wrap-distance-right:9.07pt;mso-wrap-distance-bottom:0.00pt;rotation:0;v-text-anchor:top;visibility:visible;" fillcolor="#FFFFFF" strokecolor="#FF0000" strokeweight="1.00pt">
                <v:stroke dashstyle="solid"/>
                <v:textbox inset="0,0,0,0">
                  <w:txbxContent>
                    <w:p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r>
                      <w:r/>
                    </w:p>
                    <w:p>
                      <w:pPr>
                        <w:jc w:val="center"/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если подрядчиком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является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индивидуальный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ff0000"/>
                          <w:sz w:val="32"/>
                          <w:szCs w:val="32"/>
                        </w:rPr>
                        <w:t xml:space="preserve">предприниматель</w:t>
                      </w:r>
                      <w:r>
                        <w:rPr>
                          <w:color w:val="ff0000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z w:val="32"/>
                          <w:szCs w:val="32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left="0" w:right="0" w:firstLine="0"/>
        <w:jc w:val="both"/>
        <w:spacing w:line="276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850" w:right="850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oficerova_e</cp:lastModifiedBy>
  <cp:revision>5</cp:revision>
  <dcterms:modified xsi:type="dcterms:W3CDTF">2025-09-23T10:53:50Z</dcterms:modified>
</cp:coreProperties>
</file>